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28E22F92" w:rsidR="00AC004D" w:rsidRPr="00291376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pro programový rámec irop mas </w:t>
      </w:r>
      <w:proofErr w:type="gramStart"/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opavsko</w:t>
      </w:r>
      <w:r w:rsidR="004F479C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 – </w:t>
      </w:r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>2.výzva</w:t>
      </w:r>
      <w:proofErr w:type="gramEnd"/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mas opavsko irop-vzdělávání 2023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  <w:bookmarkStart w:id="0" w:name="_GoBack"/>
      <w:bookmarkEnd w:id="0"/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1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1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86EF4" w:rsidRPr="001C1F58" w14:paraId="48E38806" w14:textId="77777777" w:rsidTr="006B284F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2D191807" w:rsidR="00F86EF4" w:rsidRDefault="00F86EF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projektového záměru v Seznamu investičních záměrů Programového rámce IROP a SZP MAS Opavsko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86EF4" w:rsidRPr="001C1F58" w14:paraId="0D3CE834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6AE8B1E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11BE920" w14:textId="3FA2AAB1" w:rsidR="00F86EF4" w:rsidRDefault="00F86EF4" w:rsidP="00F86EF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dopad projektového záměru na území (žadatel uvede děti kterých </w:t>
            </w:r>
            <w:r w:rsidRPr="00F86EF4">
              <w:rPr>
                <w:rFonts w:cs="Arial"/>
                <w:b/>
                <w:szCs w:val="20"/>
              </w:rPr>
              <w:t xml:space="preserve">obcí (místních částí) </w:t>
            </w:r>
            <w:r>
              <w:rPr>
                <w:rFonts w:cs="Arial"/>
                <w:szCs w:val="20"/>
              </w:rPr>
              <w:t>budou využívat výstupy projektu)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16CB3856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55604FA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87A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14BE69AC">
          <wp:simplePos x="0" y="0"/>
          <wp:positionH relativeFrom="column">
            <wp:posOffset>7393305</wp:posOffset>
          </wp:positionH>
          <wp:positionV relativeFrom="paragraph">
            <wp:posOffset>-214630</wp:posOffset>
          </wp:positionV>
          <wp:extent cx="977900" cy="548005"/>
          <wp:effectExtent l="0" t="0" r="0" b="4445"/>
          <wp:wrapTight wrapText="bothSides">
            <wp:wrapPolygon edited="0">
              <wp:start x="0" y="0"/>
              <wp:lineTo x="0" y="21024"/>
              <wp:lineTo x="21039" y="21024"/>
              <wp:lineTo x="210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E36F2"/>
    <w:rsid w:val="004E4B1D"/>
    <w:rsid w:val="004F479C"/>
    <w:rsid w:val="00566AB1"/>
    <w:rsid w:val="00583387"/>
    <w:rsid w:val="006B284F"/>
    <w:rsid w:val="006C580A"/>
    <w:rsid w:val="006E6251"/>
    <w:rsid w:val="0074625F"/>
    <w:rsid w:val="00756F8E"/>
    <w:rsid w:val="007D1E1A"/>
    <w:rsid w:val="007D47AA"/>
    <w:rsid w:val="00806654"/>
    <w:rsid w:val="00900D21"/>
    <w:rsid w:val="00933242"/>
    <w:rsid w:val="00AC004D"/>
    <w:rsid w:val="00B2487A"/>
    <w:rsid w:val="00BA3A50"/>
    <w:rsid w:val="00BA5D28"/>
    <w:rsid w:val="00BC4D72"/>
    <w:rsid w:val="00C13769"/>
    <w:rsid w:val="00C566ED"/>
    <w:rsid w:val="00D62762"/>
    <w:rsid w:val="00DC4000"/>
    <w:rsid w:val="00E176C8"/>
    <w:rsid w:val="00E235C6"/>
    <w:rsid w:val="00EF18AB"/>
    <w:rsid w:val="00F379D1"/>
    <w:rsid w:val="00F86EF4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23</cp:revision>
  <dcterms:created xsi:type="dcterms:W3CDTF">2022-01-28T11:01:00Z</dcterms:created>
  <dcterms:modified xsi:type="dcterms:W3CDTF">2023-04-04T12:53:00Z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